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C" w:rsidRPr="00F3601C" w:rsidRDefault="00A7170B" w:rsidP="00F3601C">
      <w:pPr>
        <w:ind w:left="-284"/>
        <w:jc w:val="right"/>
        <w:rPr>
          <w:b/>
        </w:rPr>
      </w:pPr>
      <w:r w:rsidRPr="00F3601C">
        <w:rPr>
          <w:b/>
        </w:rPr>
        <w:t>APPENDIX 1</w:t>
      </w:r>
    </w:p>
    <w:p w:rsidR="00A7170B" w:rsidRPr="00F3601C" w:rsidRDefault="00A7170B" w:rsidP="00F3601C">
      <w:pPr>
        <w:ind w:left="-284"/>
        <w:jc w:val="center"/>
        <w:rPr>
          <w:b/>
        </w:rPr>
      </w:pPr>
      <w:r w:rsidRPr="00F3601C">
        <w:rPr>
          <w:b/>
        </w:rPr>
        <w:t xml:space="preserve">Electorates for the </w:t>
      </w:r>
      <w:r w:rsidR="00F3601C" w:rsidRPr="00F3601C">
        <w:rPr>
          <w:rFonts w:cs="Arial"/>
          <w:b/>
          <w:color w:val="auto"/>
        </w:rPr>
        <w:t>Boundary Commission for England’</w:t>
      </w:r>
      <w:r w:rsidRPr="00F3601C">
        <w:rPr>
          <w:b/>
        </w:rPr>
        <w:t>s proposed constituencies that cover Oxford City Council</w:t>
      </w:r>
    </w:p>
    <w:p w:rsidR="00A7170B" w:rsidRDefault="00A7170B" w:rsidP="00A7170B"/>
    <w:tbl>
      <w:tblPr>
        <w:tblStyle w:val="TableGrid1"/>
        <w:tblW w:w="1018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28"/>
        <w:gridCol w:w="4140"/>
        <w:gridCol w:w="2790"/>
        <w:gridCol w:w="1530"/>
      </w:tblGrid>
      <w:tr w:rsidR="00A7170B" w:rsidRPr="004B038E" w:rsidTr="00DD4547">
        <w:tc>
          <w:tcPr>
            <w:tcW w:w="1728" w:type="dxa"/>
            <w:shd w:val="clear" w:color="auto" w:fill="000000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  <w:r w:rsidRPr="004B038E">
              <w:rPr>
                <w:rFonts w:cs="Arial"/>
                <w:b/>
                <w:bCs/>
                <w:color w:val="auto"/>
              </w:rPr>
              <w:t>Oxford East</w:t>
            </w:r>
          </w:p>
        </w:tc>
        <w:tc>
          <w:tcPr>
            <w:tcW w:w="4140" w:type="dxa"/>
            <w:shd w:val="clear" w:color="auto" w:fill="000000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2790" w:type="dxa"/>
            <w:shd w:val="clear" w:color="auto" w:fill="000000"/>
          </w:tcPr>
          <w:p w:rsidR="00A7170B" w:rsidRPr="004B038E" w:rsidRDefault="00A7170B" w:rsidP="00DD4547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530" w:type="dxa"/>
            <w:shd w:val="clear" w:color="auto" w:fill="000000"/>
          </w:tcPr>
          <w:p w:rsidR="00A7170B" w:rsidRPr="004B038E" w:rsidRDefault="00A7170B" w:rsidP="00DD4547">
            <w:pPr>
              <w:jc w:val="right"/>
              <w:rPr>
                <w:rFonts w:cs="Arial"/>
                <w:b/>
                <w:bCs/>
                <w:color w:val="auto"/>
              </w:rPr>
            </w:pPr>
            <w:r w:rsidRPr="004B038E">
              <w:rPr>
                <w:rFonts w:cs="Arial"/>
                <w:b/>
                <w:bCs/>
                <w:color w:val="auto"/>
              </w:rPr>
              <w:t>76,914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6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 xml:space="preserve">Barton and </w:t>
            </w:r>
            <w:proofErr w:type="spellStart"/>
            <w:r w:rsidRPr="004B038E">
              <w:rPr>
                <w:rFonts w:eastAsia="Arial" w:cs="Arial"/>
                <w:color w:val="auto"/>
                <w:lang w:val="en-US" w:eastAsia="en-US"/>
              </w:rPr>
              <w:t>Sandhills</w:t>
            </w:r>
            <w:proofErr w:type="spellEnd"/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6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4,614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Blackbi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  <w:r w:rsidRPr="004B038E">
              <w:rPr>
                <w:rFonts w:eastAsia="Arial" w:cs="Arial"/>
                <w:color w:val="auto"/>
                <w:spacing w:val="13"/>
                <w:lang w:val="en-US" w:eastAsia="en-US"/>
              </w:rPr>
              <w:t xml:space="preserve"> 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Leys</w:t>
            </w:r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3,790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proofErr w:type="spellStart"/>
            <w:r w:rsidRPr="004B038E">
              <w:rPr>
                <w:rFonts w:eastAsia="Arial" w:cs="Arial"/>
                <w:color w:val="auto"/>
                <w:lang w:val="en-US" w:eastAsia="en-US"/>
              </w:rPr>
              <w:t>Carfax</w:t>
            </w:r>
            <w:proofErr w:type="spellEnd"/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1,926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Chu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chill</w:t>
            </w:r>
            <w:bookmarkStart w:id="0" w:name="_GoBack"/>
            <w:bookmarkEnd w:id="0"/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3,715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Cowley</w:t>
            </w:r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3,937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Cowley</w:t>
            </w:r>
            <w:r w:rsidRPr="004B038E">
              <w:rPr>
                <w:rFonts w:eastAsia="Arial" w:cs="Arial"/>
                <w:color w:val="auto"/>
                <w:spacing w:val="5"/>
                <w:lang w:val="en-US" w:eastAsia="en-US"/>
              </w:rPr>
              <w:t xml:space="preserve"> 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Marsh</w:t>
            </w:r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3,982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Headington</w:t>
            </w:r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3,843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Headington</w:t>
            </w:r>
            <w:r w:rsidRPr="004B038E">
              <w:rPr>
                <w:rFonts w:eastAsia="Arial" w:cs="Arial"/>
                <w:color w:val="auto"/>
                <w:spacing w:val="5"/>
                <w:lang w:val="en-US" w:eastAsia="en-US"/>
              </w:rPr>
              <w:t xml:space="preserve"> 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Hill</w:t>
            </w:r>
            <w:r w:rsidRPr="004B038E">
              <w:rPr>
                <w:rFonts w:eastAsia="Arial" w:cs="Arial"/>
                <w:color w:val="auto"/>
                <w:spacing w:val="6"/>
                <w:lang w:val="en-US" w:eastAsia="en-US"/>
              </w:rPr>
              <w:t xml:space="preserve"> 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and</w:t>
            </w:r>
            <w:r w:rsidRPr="004B038E">
              <w:rPr>
                <w:rFonts w:eastAsia="Arial" w:cs="Arial"/>
                <w:color w:val="auto"/>
                <w:spacing w:val="6"/>
                <w:lang w:val="en-US" w:eastAsia="en-US"/>
              </w:rPr>
              <w:t xml:space="preserve"> 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Northway</w:t>
            </w:r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3,109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proofErr w:type="spellStart"/>
            <w:r w:rsidRPr="004B038E">
              <w:rPr>
                <w:rFonts w:eastAsia="Arial" w:cs="Arial"/>
                <w:color w:val="auto"/>
                <w:lang w:val="en-US" w:eastAsia="en-US"/>
              </w:rPr>
              <w:t>Hinksey</w:t>
            </w:r>
            <w:proofErr w:type="spellEnd"/>
            <w:r w:rsidRPr="004B038E">
              <w:rPr>
                <w:rFonts w:eastAsia="Arial" w:cs="Arial"/>
                <w:color w:val="auto"/>
                <w:spacing w:val="-4"/>
                <w:lang w:val="en-US" w:eastAsia="en-US"/>
              </w:rPr>
              <w:t xml:space="preserve"> 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Park</w:t>
            </w:r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3,717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proofErr w:type="spellStart"/>
            <w:r w:rsidRPr="004B038E">
              <w:rPr>
                <w:rFonts w:eastAsia="Arial" w:cs="Arial"/>
                <w:color w:val="auto"/>
                <w:lang w:val="en-US" w:eastAsia="en-US"/>
              </w:rPr>
              <w:t>Holywell</w:t>
            </w:r>
            <w:proofErr w:type="spellEnd"/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1,573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proofErr w:type="spellStart"/>
            <w:r w:rsidRPr="004B038E">
              <w:rPr>
                <w:rFonts w:eastAsia="Arial" w:cs="Arial"/>
                <w:color w:val="auto"/>
                <w:lang w:val="en-US" w:eastAsia="en-US"/>
              </w:rPr>
              <w:t>Iffley</w:t>
            </w:r>
            <w:proofErr w:type="spellEnd"/>
            <w:r w:rsidRPr="004B038E">
              <w:rPr>
                <w:rFonts w:eastAsia="Arial" w:cs="Arial"/>
                <w:color w:val="auto"/>
                <w:lang w:val="en-US" w:eastAsia="en-US"/>
              </w:rPr>
              <w:t xml:space="preserve"> Fields</w:t>
            </w:r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3,645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Littlemo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e</w:t>
            </w:r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4,305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spacing w:val="-6"/>
                <w:lang w:val="en-US" w:eastAsia="en-US"/>
              </w:rPr>
              <w:t>L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ye</w:t>
            </w:r>
            <w:r w:rsidRPr="004B038E">
              <w:rPr>
                <w:rFonts w:eastAsia="Arial" w:cs="Arial"/>
                <w:color w:val="auto"/>
                <w:spacing w:val="-19"/>
                <w:lang w:val="en-US" w:eastAsia="en-US"/>
              </w:rPr>
              <w:t xml:space="preserve"> </w:t>
            </w:r>
            <w:r w:rsidRPr="004B038E">
              <w:rPr>
                <w:rFonts w:eastAsia="Arial" w:cs="Arial"/>
                <w:color w:val="auto"/>
                <w:spacing w:val="-10"/>
                <w:lang w:val="en-US" w:eastAsia="en-US"/>
              </w:rPr>
              <w:t>V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alley</w:t>
            </w:r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4,327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Marston</w:t>
            </w:r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4,232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  <w:shd w:val="clear" w:color="auto" w:fill="BFBFBF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North (currently Oxford West and Abingdon)</w:t>
            </w:r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2,936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Northfield Brook</w:t>
            </w:r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4,081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Quarry</w:t>
            </w:r>
            <w:r w:rsidRPr="004B038E">
              <w:rPr>
                <w:rFonts w:eastAsia="Arial" w:cs="Arial"/>
                <w:color w:val="auto"/>
                <w:spacing w:val="-4"/>
                <w:lang w:val="en-US" w:eastAsia="en-US"/>
              </w:rPr>
              <w:t xml:space="preserve"> 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and</w:t>
            </w:r>
            <w:r w:rsidRPr="004B038E">
              <w:rPr>
                <w:rFonts w:eastAsia="Arial" w:cs="Arial"/>
                <w:color w:val="auto"/>
                <w:spacing w:val="-4"/>
                <w:lang w:val="en-US" w:eastAsia="en-US"/>
              </w:rPr>
              <w:t xml:space="preserve"> </w:t>
            </w:r>
            <w:proofErr w:type="spellStart"/>
            <w:r w:rsidRPr="004B038E">
              <w:rPr>
                <w:rFonts w:eastAsia="Arial" w:cs="Arial"/>
                <w:color w:val="auto"/>
                <w:lang w:val="en-US" w:eastAsia="en-US"/>
              </w:rPr>
              <w:t>Risinghurst</w:t>
            </w:r>
            <w:proofErr w:type="spellEnd"/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4,418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 xml:space="preserve">Rose Hill and </w:t>
            </w:r>
            <w:proofErr w:type="spellStart"/>
            <w:r w:rsidRPr="004B038E">
              <w:rPr>
                <w:rFonts w:eastAsia="Arial" w:cs="Arial"/>
                <w:color w:val="auto"/>
                <w:lang w:val="en-US" w:eastAsia="en-US"/>
              </w:rPr>
              <w:t>Iffley</w:t>
            </w:r>
            <w:proofErr w:type="spellEnd"/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4,235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St.</w:t>
            </w:r>
            <w:r w:rsidRPr="004B038E">
              <w:rPr>
                <w:rFonts w:eastAsia="Arial" w:cs="Arial"/>
                <w:color w:val="auto"/>
                <w:spacing w:val="8"/>
                <w:lang w:val="en-US" w:eastAsia="en-US"/>
              </w:rPr>
              <w:t xml:space="preserve"> </w:t>
            </w:r>
            <w:proofErr w:type="spellStart"/>
            <w:r w:rsidRPr="004B038E">
              <w:rPr>
                <w:rFonts w:eastAsia="Arial" w:cs="Arial"/>
                <w:color w:val="auto"/>
                <w:lang w:val="en-US" w:eastAsia="en-US"/>
              </w:rPr>
              <w:t>Clement</w:t>
            </w:r>
            <w:r w:rsidRPr="004B038E">
              <w:rPr>
                <w:rFonts w:eastAsia="Arial" w:cs="Arial"/>
                <w:color w:val="auto"/>
                <w:spacing w:val="-12"/>
                <w:lang w:val="en-US" w:eastAsia="en-US"/>
              </w:rPr>
              <w:t>’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s</w:t>
            </w:r>
            <w:proofErr w:type="spellEnd"/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3,767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  <w:shd w:val="clear" w:color="auto" w:fill="BFBFBF"/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St.</w:t>
            </w:r>
            <w:r w:rsidRPr="004B038E">
              <w:rPr>
                <w:rFonts w:eastAsia="Arial" w:cs="Arial"/>
                <w:color w:val="auto"/>
                <w:spacing w:val="14"/>
                <w:lang w:val="en-US" w:eastAsia="en-US"/>
              </w:rPr>
              <w:t xml:space="preserve"> 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Ma</w:t>
            </w:r>
            <w:r w:rsidRPr="004B038E">
              <w:rPr>
                <w:rFonts w:eastAsia="Arial" w:cs="Arial"/>
                <w:color w:val="auto"/>
                <w:spacing w:val="-5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ga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et</w:t>
            </w:r>
            <w:r w:rsidRPr="004B038E">
              <w:rPr>
                <w:rFonts w:eastAsia="Arial" w:cs="Arial"/>
                <w:color w:val="auto"/>
                <w:spacing w:val="-12"/>
                <w:lang w:val="en-US" w:eastAsia="en-US"/>
              </w:rPr>
              <w:t>’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s (currently Oxford West and Abingdon)</w:t>
            </w:r>
          </w:p>
        </w:tc>
        <w:tc>
          <w:tcPr>
            <w:tcW w:w="2790" w:type="dxa"/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2,965</w:t>
            </w:r>
          </w:p>
        </w:tc>
      </w:tr>
      <w:tr w:rsidR="00A7170B" w:rsidRPr="004B038E" w:rsidTr="00DD4547">
        <w:tc>
          <w:tcPr>
            <w:tcW w:w="1728" w:type="dxa"/>
            <w:tcBorders>
              <w:bottom w:val="single" w:sz="4" w:space="0" w:color="auto"/>
            </w:tcBorders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7170B" w:rsidRPr="004B038E" w:rsidRDefault="00A7170B" w:rsidP="00DD4547">
            <w:pPr>
              <w:widowControl w:val="0"/>
              <w:spacing w:before="14" w:after="0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St.</w:t>
            </w:r>
            <w:r w:rsidRPr="004B038E">
              <w:rPr>
                <w:rFonts w:eastAsia="Arial" w:cs="Arial"/>
                <w:color w:val="auto"/>
                <w:spacing w:val="13"/>
                <w:lang w:val="en-US" w:eastAsia="en-US"/>
              </w:rPr>
              <w:t xml:space="preserve"> 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Mary</w:t>
            </w:r>
            <w:r w:rsidRPr="004B038E">
              <w:rPr>
                <w:rFonts w:eastAsia="Arial" w:cs="Arial"/>
                <w:color w:val="auto"/>
                <w:spacing w:val="-12"/>
                <w:lang w:val="en-US" w:eastAsia="en-US"/>
              </w:rPr>
              <w:t>’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7170B" w:rsidRPr="004B038E" w:rsidRDefault="00A7170B" w:rsidP="00DD4547">
            <w:pPr>
              <w:widowControl w:val="0"/>
              <w:spacing w:before="16" w:after="0"/>
              <w:ind w:left="65" w:right="-18"/>
              <w:jc w:val="center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Oxfo</w:t>
            </w:r>
            <w:r w:rsidRPr="004B038E">
              <w:rPr>
                <w:rFonts w:eastAsia="Arial" w:cs="Arial"/>
                <w:color w:val="auto"/>
                <w:spacing w:val="-3"/>
                <w:lang w:val="en-US" w:eastAsia="en-US"/>
              </w:rPr>
              <w:t>r</w:t>
            </w:r>
            <w:r w:rsidRPr="004B038E">
              <w:rPr>
                <w:rFonts w:eastAsia="Arial" w:cs="Arial"/>
                <w:color w:val="auto"/>
                <w:lang w:val="en-US" w:eastAsia="en-US"/>
              </w:rPr>
              <w:t>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7170B" w:rsidRPr="004B038E" w:rsidRDefault="00A7170B" w:rsidP="00DD4547">
            <w:pPr>
              <w:widowControl w:val="0"/>
              <w:spacing w:before="14" w:after="0"/>
              <w:ind w:right="56"/>
              <w:jc w:val="right"/>
              <w:rPr>
                <w:rFonts w:eastAsia="Arial" w:cs="Arial"/>
                <w:color w:val="auto"/>
                <w:lang w:val="en-US" w:eastAsia="en-US"/>
              </w:rPr>
            </w:pPr>
            <w:r w:rsidRPr="004B038E">
              <w:rPr>
                <w:rFonts w:eastAsia="Arial" w:cs="Arial"/>
                <w:color w:val="auto"/>
                <w:lang w:val="en-US" w:eastAsia="en-US"/>
              </w:rPr>
              <w:t>3,077</w:t>
            </w:r>
          </w:p>
        </w:tc>
      </w:tr>
      <w:tr w:rsidR="00A7170B" w:rsidRPr="004B038E" w:rsidTr="00DD4547">
        <w:tc>
          <w:tcPr>
            <w:tcW w:w="5868" w:type="dxa"/>
            <w:gridSpan w:val="2"/>
            <w:shd w:val="clear" w:color="auto" w:fill="000000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  <w:r w:rsidRPr="004B038E">
              <w:rPr>
                <w:rFonts w:cs="Arial"/>
                <w:b/>
                <w:bCs/>
                <w:color w:val="auto"/>
              </w:rPr>
              <w:t>Oxford West and Abingdon</w:t>
            </w:r>
          </w:p>
        </w:tc>
        <w:tc>
          <w:tcPr>
            <w:tcW w:w="2790" w:type="dxa"/>
            <w:shd w:val="clear" w:color="auto" w:fill="000000"/>
          </w:tcPr>
          <w:p w:rsidR="00A7170B" w:rsidRPr="004B038E" w:rsidRDefault="00A7170B" w:rsidP="00DD4547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530" w:type="dxa"/>
            <w:shd w:val="clear" w:color="auto" w:fill="000000"/>
          </w:tcPr>
          <w:p w:rsidR="00A7170B" w:rsidRPr="004B038E" w:rsidRDefault="00A7170B" w:rsidP="00DD4547">
            <w:pPr>
              <w:jc w:val="right"/>
              <w:rPr>
                <w:rFonts w:cs="Arial"/>
                <w:b/>
                <w:bCs/>
                <w:color w:val="auto"/>
              </w:rPr>
            </w:pPr>
            <w:r w:rsidRPr="004B038E">
              <w:rPr>
                <w:rFonts w:cs="Arial"/>
                <w:b/>
                <w:bCs/>
                <w:color w:val="auto"/>
              </w:rPr>
              <w:t>75,606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Kidlington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North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Cherwell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3,973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Kidlington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South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Cherwell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6,112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Yarnton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, </w:t>
            </w: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Gosford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and Water Eaton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Cherwell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4,047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Jericho and </w:t>
            </w: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Osney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Oxford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4,040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Summertown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Oxford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4,197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Wolvercote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Oxford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4,281 </w:t>
            </w:r>
          </w:p>
        </w:tc>
      </w:tr>
      <w:tr w:rsidR="00A7170B" w:rsidRPr="004B038E" w:rsidTr="00DD4547">
        <w:tc>
          <w:tcPr>
            <w:tcW w:w="5868" w:type="dxa"/>
            <w:gridSpan w:val="2"/>
            <w:shd w:val="clear" w:color="auto" w:fill="000000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  <w:r w:rsidRPr="004B038E">
              <w:rPr>
                <w:rFonts w:cs="Arial"/>
                <w:b/>
                <w:bCs/>
                <w:color w:val="auto"/>
              </w:rPr>
              <w:lastRenderedPageBreak/>
              <w:t>Oxford West and Abingdon (</w:t>
            </w:r>
            <w:proofErr w:type="spellStart"/>
            <w:r w:rsidRPr="004B038E">
              <w:rPr>
                <w:rFonts w:cs="Arial"/>
                <w:b/>
                <w:bCs/>
                <w:color w:val="auto"/>
              </w:rPr>
              <w:t>contd</w:t>
            </w:r>
            <w:proofErr w:type="spellEnd"/>
            <w:r w:rsidRPr="004B038E">
              <w:rPr>
                <w:rFonts w:cs="Arial"/>
                <w:b/>
                <w:bCs/>
                <w:color w:val="auto"/>
              </w:rPr>
              <w:t>)</w:t>
            </w:r>
          </w:p>
        </w:tc>
        <w:tc>
          <w:tcPr>
            <w:tcW w:w="2790" w:type="dxa"/>
            <w:shd w:val="clear" w:color="auto" w:fill="000000"/>
          </w:tcPr>
          <w:p w:rsidR="00A7170B" w:rsidRPr="004B038E" w:rsidRDefault="00A7170B" w:rsidP="00DD4547">
            <w:pPr>
              <w:jc w:val="right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530" w:type="dxa"/>
            <w:shd w:val="clear" w:color="auto" w:fill="000000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b/>
                <w:bCs/>
                <w:color w:val="auto"/>
                <w:lang w:eastAsia="en-US"/>
              </w:rPr>
              <w:t>75,606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FBFBF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Garsington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&amp; </w:t>
            </w: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Horspath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(currently in Henley)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South Oxfordshire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2,752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FBFBF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Sandford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&amp; the </w:t>
            </w: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Wittenhams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(currently in Henley)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South Oxfordshire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2,880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  <w:shd w:val="clear" w:color="auto" w:fill="BFBFBF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Wheatley (currently in Henley)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South Oxfordshire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3,023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Abingdon Abbey </w:t>
            </w: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Northcourt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Vale of White Horse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4,333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Abingdon Caldecott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Vale of White Horse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5,083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Abingdon Dunmore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Vale of White Horse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4,545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Abingdon </w:t>
            </w: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Fitzharris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Vale of White Horse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4,616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Abingdon </w:t>
            </w: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Peachcroft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Vale of White Horse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5,178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Botley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&amp; </w:t>
            </w: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Sunningwell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Vale of White Horse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4,240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Cumnor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Vale of White Horse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4,645 </w:t>
            </w:r>
          </w:p>
        </w:tc>
      </w:tr>
      <w:tr w:rsidR="00A7170B" w:rsidRPr="004B038E" w:rsidTr="00DD4547">
        <w:tc>
          <w:tcPr>
            <w:tcW w:w="1728" w:type="dxa"/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Kennington &amp; </w:t>
            </w: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Radley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2790" w:type="dxa"/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Vale of White Horse</w:t>
            </w:r>
          </w:p>
        </w:tc>
        <w:tc>
          <w:tcPr>
            <w:tcW w:w="1530" w:type="dxa"/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5,081 </w:t>
            </w:r>
          </w:p>
        </w:tc>
      </w:tr>
      <w:tr w:rsidR="00A7170B" w:rsidRPr="004B038E" w:rsidTr="00DD4547">
        <w:tc>
          <w:tcPr>
            <w:tcW w:w="1728" w:type="dxa"/>
            <w:tcBorders>
              <w:bottom w:val="single" w:sz="4" w:space="0" w:color="auto"/>
            </w:tcBorders>
          </w:tcPr>
          <w:p w:rsidR="00A7170B" w:rsidRPr="004B038E" w:rsidRDefault="00A7170B" w:rsidP="00DD4547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rPr>
                <w:rFonts w:eastAsia="Calibri" w:cs="Arial"/>
                <w:color w:val="auto"/>
                <w:lang w:eastAsia="en-US"/>
              </w:rPr>
            </w:pPr>
            <w:proofErr w:type="spellStart"/>
            <w:r w:rsidRPr="00615B00">
              <w:rPr>
                <w:rFonts w:eastAsia="Calibri" w:cs="Arial"/>
                <w:color w:val="auto"/>
                <w:lang w:eastAsia="en-US"/>
              </w:rPr>
              <w:t>Wootton</w:t>
            </w:r>
            <w:proofErr w:type="spellEnd"/>
            <w:r w:rsidRPr="00615B00">
              <w:rPr>
                <w:rFonts w:eastAsia="Calibri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7170B" w:rsidRPr="00615B00" w:rsidRDefault="00A7170B" w:rsidP="00DD4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61" w:lineRule="atLeast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>Vale of White Horse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7170B" w:rsidRPr="00615B00" w:rsidRDefault="00A7170B" w:rsidP="00DD4547">
            <w:pPr>
              <w:autoSpaceDE w:val="0"/>
              <w:autoSpaceDN w:val="0"/>
              <w:adjustRightInd w:val="0"/>
              <w:spacing w:after="0" w:line="161" w:lineRule="atLeast"/>
              <w:jc w:val="right"/>
              <w:rPr>
                <w:rFonts w:eastAsia="Calibri" w:cs="Arial"/>
                <w:color w:val="auto"/>
                <w:lang w:eastAsia="en-US"/>
              </w:rPr>
            </w:pPr>
            <w:r w:rsidRPr="00615B00">
              <w:rPr>
                <w:rFonts w:eastAsia="Calibri" w:cs="Arial"/>
                <w:color w:val="auto"/>
                <w:lang w:eastAsia="en-US"/>
              </w:rPr>
              <w:t xml:space="preserve">2,580 </w:t>
            </w:r>
          </w:p>
        </w:tc>
      </w:tr>
    </w:tbl>
    <w:p w:rsidR="00DA257A" w:rsidRDefault="00DA257A"/>
    <w:sectPr w:rsidR="00DA2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3FB8"/>
    <w:multiLevelType w:val="multilevel"/>
    <w:tmpl w:val="58146D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portPara"/>
      <w:lvlText w:val="%1.%2."/>
      <w:lvlJc w:val="left"/>
      <w:pPr>
        <w:ind w:left="792" w:hanging="432"/>
      </w:pPr>
      <w:rPr>
        <w:rFonts w:ascii="Gill Sans MT" w:hAnsi="Gill Sans MT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0B"/>
    <w:rsid w:val="000442AA"/>
    <w:rsid w:val="00A7170B"/>
    <w:rsid w:val="00DA257A"/>
    <w:rsid w:val="00F1424B"/>
    <w:rsid w:val="00F3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0B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Para">
    <w:name w:val="Report Para"/>
    <w:basedOn w:val="Normal"/>
    <w:rsid w:val="00A7170B"/>
    <w:pPr>
      <w:numPr>
        <w:ilvl w:val="1"/>
        <w:numId w:val="1"/>
      </w:numPr>
      <w:ind w:left="1260" w:hanging="720"/>
    </w:pPr>
    <w:rPr>
      <w:rFonts w:ascii="Gill Sans MT" w:hAnsi="Gill Sans MT"/>
      <w:color w:val="auto"/>
    </w:rPr>
  </w:style>
  <w:style w:type="table" w:customStyle="1" w:styleId="TableGrid1">
    <w:name w:val="Table Grid1"/>
    <w:basedOn w:val="TableNormal"/>
    <w:next w:val="TableGrid"/>
    <w:rsid w:val="00A7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7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0B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Para">
    <w:name w:val="Report Para"/>
    <w:basedOn w:val="Normal"/>
    <w:rsid w:val="00A7170B"/>
    <w:pPr>
      <w:numPr>
        <w:ilvl w:val="1"/>
        <w:numId w:val="1"/>
      </w:numPr>
      <w:ind w:left="1260" w:hanging="720"/>
    </w:pPr>
    <w:rPr>
      <w:rFonts w:ascii="Gill Sans MT" w:hAnsi="Gill Sans MT"/>
      <w:color w:val="auto"/>
    </w:rPr>
  </w:style>
  <w:style w:type="table" w:customStyle="1" w:styleId="TableGrid1">
    <w:name w:val="Table Grid1"/>
    <w:basedOn w:val="TableNormal"/>
    <w:next w:val="TableGrid"/>
    <w:rsid w:val="00A7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7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1833636E.dotm</Template>
  <TotalTime>2</TotalTime>
  <Pages>2</Pages>
  <Words>260</Words>
  <Characters>1482</Characters>
  <Application>Microsoft Office Word</Application>
  <DocSecurity>0</DocSecurity>
  <Lines>12</Lines>
  <Paragraphs>3</Paragraphs>
  <ScaleCrop>false</ScaleCrop>
  <Company>Oxford City Council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Sarah.Claridge</cp:lastModifiedBy>
  <cp:revision>2</cp:revision>
  <dcterms:created xsi:type="dcterms:W3CDTF">2016-10-10T14:36:00Z</dcterms:created>
  <dcterms:modified xsi:type="dcterms:W3CDTF">2016-10-17T10:37:00Z</dcterms:modified>
</cp:coreProperties>
</file>